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A5B26" w:rsidRDefault="005A5B26">
      <w:bookmarkStart w:id="0" w:name="_GoBack"/>
      <w:bookmarkEnd w:id="0"/>
    </w:p>
    <w:p w:rsidR="005A5B26" w:rsidRDefault="005A5B26"/>
    <w:p w:rsidR="005A5B26" w:rsidRDefault="00BB4252">
      <w:r>
        <w:rPr>
          <w:b/>
        </w:rPr>
        <w:t>Background</w:t>
      </w:r>
    </w:p>
    <w:p w:rsidR="005A5B26" w:rsidRDefault="00BB4252">
      <w:r>
        <w:t>As schools and districts rapidly shift from print to online learning, two significant technical barriers continue to prevent the pervasive and effective use of these new digital resources.  Research</w:t>
      </w:r>
      <w:r>
        <w:rPr>
          <w:vertAlign w:val="superscript"/>
        </w:rPr>
        <w:footnoteReference w:id="1"/>
      </w:r>
      <w:r>
        <w:t xml:space="preserve"> again and again confirms the basic tenet that first impressions are lasting ones. These twin barriers are particularly vexing for the industry as they are create negative first impressions that obstruct crucial initial adoption of online resources. Further problematic about negative first impressions is the tendency for news to travel fast amongst students and teachers.  </w:t>
      </w:r>
    </w:p>
    <w:p w:rsidR="005A5B26" w:rsidRDefault="005A5B26"/>
    <w:p w:rsidR="005A5B26" w:rsidRDefault="00BB4252">
      <w:r>
        <w:t xml:space="preserve">The two barriers are issues related to </w:t>
      </w:r>
      <w:r>
        <w:rPr>
          <w:b/>
        </w:rPr>
        <w:t xml:space="preserve">Sign-On </w:t>
      </w:r>
      <w:r>
        <w:t xml:space="preserve">and issues related to </w:t>
      </w:r>
      <w:r>
        <w:rPr>
          <w:b/>
        </w:rPr>
        <w:t>Class Roster Uploads</w:t>
      </w:r>
      <w:r>
        <w:t xml:space="preserve">. These barriers are somewhat interrelated and fortunately for us, they are now avoidable. The industry, working collaboratively, has developed well-adopted open technology standards to address both these barriers. FACTS (Federated Alliance for Curriculum Technology Standards) supports open technology standards and has created this Request </w:t>
      </w:r>
      <w:proofErr w:type="gramStart"/>
      <w:r>
        <w:t>For</w:t>
      </w:r>
      <w:proofErr w:type="gramEnd"/>
      <w:r>
        <w:t xml:space="preserve"> Proposal Guidance document to assist its members and other industry partners. Our goal is to help the education industry understand and adopt select open technology standards to eliminate the challenges associated to Sign-On and Class Roster Uploads.</w:t>
      </w:r>
    </w:p>
    <w:p w:rsidR="005A5B26" w:rsidRDefault="005A5B26"/>
    <w:p w:rsidR="005A5B26" w:rsidRDefault="00BB4252">
      <w:r>
        <w:br w:type="page"/>
      </w:r>
    </w:p>
    <w:p w:rsidR="005A5B26" w:rsidRDefault="005A5B26"/>
    <w:p w:rsidR="005A5B26" w:rsidRDefault="005A5B26"/>
    <w:p w:rsidR="005A5B26" w:rsidRDefault="00BB4252">
      <w:r>
        <w:rPr>
          <w:b/>
        </w:rPr>
        <w:t>Sign-On</w:t>
      </w:r>
    </w:p>
    <w:p w:rsidR="005A5B26" w:rsidRDefault="00BB4252">
      <w:r>
        <w:t>Teachers and students typically interact with five to fifteen different web based resources in a given school year and we believe this number will only grow. Over the course of a typical student’s K-12 career the total web resources can be into the hundreds and it’s likely every web application will require a sign-on. The aggregate time lost/wasted by students and teachers attempting and failing to remember their username and password is staggering. With each failed attempt a lasting negative impression grows. Resources that were intended to help improve learning outcomes become frustrating experiences that students and teachers look to avoid. Add to that challenges faced by the school technology team responsible for creating, resetting and managing usernames and passwords for a constantly growing set of online applications and the frustration becomes a school system wide challenge.</w:t>
      </w:r>
    </w:p>
    <w:p w:rsidR="005A5B26" w:rsidRDefault="005A5B26"/>
    <w:p w:rsidR="005A5B26" w:rsidRDefault="00BB4252">
      <w:r>
        <w:rPr>
          <w:b/>
        </w:rPr>
        <w:t>Class Roster Uploads</w:t>
      </w:r>
    </w:p>
    <w:p w:rsidR="005A5B26" w:rsidRDefault="00BB4252">
      <w:r>
        <w:t xml:space="preserve">A class roster is a list of students enrolled in a particular class. Many educational websites need class roster information to better assist the teacher in organizing materials for multiple classes and for helping students have an online experience that is more relevant to their classroom experience. Some websites enable teachers to enter students one-by-one or to upload a class list of some kind. More and more websites enable bulk upload of rosters at the district level. It has become standard practice for district technologists to create many customized extracts from their Student Information System (SIS) and upload them into a myriad of educational websites. This custom extract process, although certainly more efficient than manually typing in class schedules manually, has become overly complicated with unique spreadsheets for every website and too tedious for districts with significant enrollment changes. </w:t>
      </w:r>
    </w:p>
    <w:p w:rsidR="005A5B26" w:rsidRDefault="00BB4252">
      <w:r>
        <w:rPr>
          <w:highlight w:val="yellow"/>
        </w:rPr>
        <w:t xml:space="preserve"> </w:t>
      </w:r>
    </w:p>
    <w:p w:rsidR="005A5B26" w:rsidRDefault="00BB4252">
      <w:r>
        <w:rPr>
          <w:b/>
        </w:rPr>
        <w:t>Eliminating these Barriers</w:t>
      </w:r>
    </w:p>
    <w:p w:rsidR="005A5B26" w:rsidRDefault="00BB4252">
      <w:r>
        <w:t xml:space="preserve">FACTS school technology leaders represent over 1 million students and we are advocating for open technology standards. Educational publishers and platform providers who adopt open technology standards can help eliminate these barriers. Together with best-in-class industry associations, such as IMS Global Learning Consortium, there are solutions to eliminate these barriers for school districts around the world. This document serves to assist educational leaders to both understand, advocate and align purchasing decisions towards open technology standards. What follows is information, draft language and checklists that can be used in RFP’s for digital learning resources, instructional platforms and more. </w:t>
      </w:r>
    </w:p>
    <w:p w:rsidR="005A5B26" w:rsidRDefault="005A5B26"/>
    <w:p w:rsidR="005A5B26" w:rsidRDefault="005A5B26">
      <w:pPr>
        <w:pStyle w:val="Heading1"/>
        <w:contextualSpacing w:val="0"/>
      </w:pPr>
      <w:bookmarkStart w:id="1" w:name="h.i7v8c5t43ymd" w:colFirst="0" w:colLast="0"/>
      <w:bookmarkEnd w:id="1"/>
    </w:p>
    <w:p w:rsidR="005A5B26" w:rsidRDefault="00BB4252">
      <w:pPr>
        <w:pStyle w:val="Heading1"/>
        <w:contextualSpacing w:val="0"/>
      </w:pPr>
      <w:bookmarkStart w:id="2" w:name="h.adabaqr94dds" w:colFirst="0" w:colLast="0"/>
      <w:bookmarkEnd w:id="2"/>
      <w:r>
        <w:t>Single Sign-on Requirements</w:t>
      </w:r>
    </w:p>
    <w:p w:rsidR="005A5B26" w:rsidRDefault="00BB4252">
      <w:r>
        <w:t xml:space="preserve">The district is </w:t>
      </w:r>
      <w:r>
        <w:rPr>
          <w:b/>
        </w:rPr>
        <w:t xml:space="preserve">requiring </w:t>
      </w:r>
      <w:r>
        <w:t xml:space="preserve">support for the following methods of Single Sign-On at no additional cost to the district. </w:t>
      </w:r>
    </w:p>
    <w:p w:rsidR="005A5B26" w:rsidRDefault="005A5B26"/>
    <w:p w:rsidR="005A5B26" w:rsidRDefault="00BB4252">
      <w:r>
        <w:rPr>
          <w:b/>
        </w:rPr>
        <w:t>Auto-</w:t>
      </w:r>
      <w:proofErr w:type="gramStart"/>
      <w:r>
        <w:rPr>
          <w:b/>
        </w:rPr>
        <w:t>provisioning</w:t>
      </w:r>
      <w:r>
        <w:t xml:space="preserve"> :</w:t>
      </w:r>
      <w:proofErr w:type="gramEnd"/>
      <w:r>
        <w:t xml:space="preserve"> For all systems that do not require roster data, the district is </w:t>
      </w:r>
      <w:r>
        <w:rPr>
          <w:b/>
        </w:rPr>
        <w:t xml:space="preserve">requiring </w:t>
      </w:r>
      <w:r>
        <w:t xml:space="preserve">users are automatically provisioned on first launch. </w:t>
      </w:r>
    </w:p>
    <w:p w:rsidR="005A5B26" w:rsidRDefault="005A5B26"/>
    <w:p w:rsidR="005A5B26" w:rsidRDefault="00BB4252">
      <w:r>
        <w:rPr>
          <w:b/>
        </w:rPr>
        <w:t xml:space="preserve">Method 1 </w:t>
      </w:r>
      <w:r>
        <w:t xml:space="preserve">- LTI Basic Launch Links version 1.0 or higher. </w:t>
      </w:r>
    </w:p>
    <w:p w:rsidR="005A5B26" w:rsidRDefault="005A5B26"/>
    <w:p w:rsidR="005A5B26" w:rsidRDefault="00BB4252">
      <w:r>
        <w:t xml:space="preserve">The principal concept of LTI is to establish a standard way of integrating rich learning applications (often remotely hosted and provided through third-party services) with platforms like learning management systems, portals, or other educational environments. In LTI these learning applications are called </w:t>
      </w:r>
      <w:proofErr w:type="gramStart"/>
      <w:r>
        <w:t>Tools​(</w:t>
      </w:r>
      <w:proofErr w:type="gramEnd"/>
      <w:r>
        <w:t xml:space="preserve">delivered by Tool Providers​) and the LMS, or learning platforms, are called Tool Consumers​. The basic use case behind the development of the LTI specification is to allow the seamless connection of web-based, externally hosted applications and content, or Tools (from simple communication applications like chat, to domain-specific learning environments for complex subjects like math or science) to platforms that present them to users. In other words, if you have an interactive assessment application or virtual chemistry lab, it can be securely connected to an educational platform in a standard way without having to develop and maintain custom integrations for each platform. </w:t>
      </w:r>
    </w:p>
    <w:p w:rsidR="005A5B26" w:rsidRDefault="005A5B26"/>
    <w:p w:rsidR="005A5B26" w:rsidRDefault="00BB4252">
      <w:r>
        <w:t xml:space="preserve">Please refer to the LTI primer: </w:t>
      </w:r>
      <w:hyperlink r:id="rId6">
        <w:r>
          <w:rPr>
            <w:color w:val="1155CC"/>
            <w:u w:val="single"/>
          </w:rPr>
          <w:t>http://www.imsglobal.org/lti/primeronLTIConformance.html</w:t>
        </w:r>
      </w:hyperlink>
      <w:r>
        <w:t xml:space="preserve"> for a detailed </w:t>
      </w:r>
      <w:proofErr w:type="spellStart"/>
      <w:r>
        <w:t>explaination</w:t>
      </w:r>
      <w:proofErr w:type="spellEnd"/>
      <w:r>
        <w:t xml:space="preserve">. </w:t>
      </w:r>
    </w:p>
    <w:p w:rsidR="005A5B26" w:rsidRDefault="005A5B26"/>
    <w:p w:rsidR="005A5B26" w:rsidRDefault="00BB4252">
      <w:pPr>
        <w:pStyle w:val="Heading2"/>
        <w:contextualSpacing w:val="0"/>
      </w:pPr>
      <w:bookmarkStart w:id="3" w:name="h.ij1mx2pi15ek" w:colFirst="0" w:colLast="0"/>
      <w:bookmarkEnd w:id="3"/>
      <w:r>
        <w:rPr>
          <w:rFonts w:ascii="Arial" w:eastAsia="Arial" w:hAnsi="Arial" w:cs="Arial"/>
          <w:sz w:val="22"/>
          <w:szCs w:val="22"/>
        </w:rPr>
        <w:t xml:space="preserve">Method 2 - </w:t>
      </w:r>
      <w:r>
        <w:rPr>
          <w:rFonts w:ascii="Arial" w:eastAsia="Arial" w:hAnsi="Arial" w:cs="Arial"/>
          <w:b w:val="0"/>
          <w:sz w:val="22"/>
          <w:szCs w:val="22"/>
        </w:rPr>
        <w:t>ADFS/SAML support</w:t>
      </w:r>
    </w:p>
    <w:p w:rsidR="005A5B26" w:rsidRDefault="00BB4252">
      <w:r>
        <w:rPr>
          <w:color w:val="252525"/>
          <w:highlight w:val="white"/>
        </w:rPr>
        <w:t xml:space="preserve">Security Assertion Markup Language (SAML, pronounced </w:t>
      </w:r>
      <w:proofErr w:type="spellStart"/>
      <w:r>
        <w:rPr>
          <w:i/>
          <w:color w:val="252525"/>
          <w:highlight w:val="white"/>
        </w:rPr>
        <w:t>sam</w:t>
      </w:r>
      <w:proofErr w:type="spellEnd"/>
      <w:r>
        <w:rPr>
          <w:i/>
          <w:color w:val="252525"/>
          <w:highlight w:val="white"/>
        </w:rPr>
        <w:t>-el</w:t>
      </w:r>
      <w:hyperlink r:id="rId7" w:anchor="cite_note-1">
        <w:r>
          <w:rPr>
            <w:color w:val="0B0080"/>
            <w:highlight w:val="white"/>
            <w:vertAlign w:val="superscript"/>
          </w:rPr>
          <w:t>[1]</w:t>
        </w:r>
      </w:hyperlink>
      <w:r>
        <w:rPr>
          <w:color w:val="252525"/>
          <w:highlight w:val="white"/>
        </w:rPr>
        <w:t xml:space="preserve">) is an </w:t>
      </w:r>
      <w:hyperlink r:id="rId8">
        <w:r>
          <w:rPr>
            <w:color w:val="0B0080"/>
            <w:highlight w:val="white"/>
          </w:rPr>
          <w:t>XML</w:t>
        </w:r>
      </w:hyperlink>
      <w:r>
        <w:rPr>
          <w:color w:val="252525"/>
          <w:highlight w:val="white"/>
        </w:rPr>
        <w:t xml:space="preserve">-based, </w:t>
      </w:r>
      <w:hyperlink r:id="rId9">
        <w:r>
          <w:rPr>
            <w:color w:val="0B0080"/>
            <w:highlight w:val="white"/>
          </w:rPr>
          <w:t>open-standard</w:t>
        </w:r>
      </w:hyperlink>
      <w:r>
        <w:rPr>
          <w:color w:val="252525"/>
          <w:highlight w:val="white"/>
        </w:rPr>
        <w:t xml:space="preserve"> data format for exchanging </w:t>
      </w:r>
      <w:hyperlink r:id="rId10">
        <w:r>
          <w:rPr>
            <w:color w:val="0B0080"/>
            <w:highlight w:val="white"/>
          </w:rPr>
          <w:t>authentication</w:t>
        </w:r>
      </w:hyperlink>
      <w:r>
        <w:rPr>
          <w:color w:val="252525"/>
          <w:highlight w:val="white"/>
        </w:rPr>
        <w:t xml:space="preserve"> and </w:t>
      </w:r>
      <w:hyperlink r:id="rId11">
        <w:r>
          <w:rPr>
            <w:color w:val="0B0080"/>
            <w:highlight w:val="white"/>
          </w:rPr>
          <w:t>authorization</w:t>
        </w:r>
      </w:hyperlink>
      <w:r>
        <w:rPr>
          <w:color w:val="252525"/>
          <w:highlight w:val="white"/>
        </w:rPr>
        <w:t xml:space="preserve"> data between parties, in particular, between an </w:t>
      </w:r>
      <w:hyperlink r:id="rId12">
        <w:r>
          <w:rPr>
            <w:color w:val="0B0080"/>
            <w:highlight w:val="white"/>
          </w:rPr>
          <w:t>identity provider</w:t>
        </w:r>
      </w:hyperlink>
      <w:r>
        <w:rPr>
          <w:color w:val="252525"/>
          <w:highlight w:val="white"/>
        </w:rPr>
        <w:t xml:space="preserve"> and a </w:t>
      </w:r>
      <w:hyperlink r:id="rId13">
        <w:r>
          <w:rPr>
            <w:color w:val="0B0080"/>
            <w:highlight w:val="white"/>
          </w:rPr>
          <w:t>service provider</w:t>
        </w:r>
      </w:hyperlink>
      <w:r>
        <w:rPr>
          <w:color w:val="252525"/>
          <w:highlight w:val="white"/>
        </w:rPr>
        <w:t xml:space="preserve">. SAML is a product of the </w:t>
      </w:r>
      <w:hyperlink r:id="rId14">
        <w:r>
          <w:rPr>
            <w:color w:val="0B0080"/>
            <w:highlight w:val="white"/>
          </w:rPr>
          <w:t>OASIS</w:t>
        </w:r>
      </w:hyperlink>
      <w:r>
        <w:rPr>
          <w:color w:val="252525"/>
          <w:highlight w:val="white"/>
        </w:rPr>
        <w:t xml:space="preserve"> Security Services Technical Committee. SAML dates from 2001; the most recent major update of SAML was published in 2005, but protocol enhancements have steadily been added through additional, optional standards.</w:t>
      </w:r>
      <w:r>
        <w:br w:type="page"/>
      </w:r>
    </w:p>
    <w:p w:rsidR="005A5B26" w:rsidRDefault="005A5B26">
      <w:pPr>
        <w:pStyle w:val="Heading2"/>
        <w:contextualSpacing w:val="0"/>
      </w:pPr>
      <w:bookmarkStart w:id="4" w:name="h.df6ig9htt3ie" w:colFirst="0" w:colLast="0"/>
      <w:bookmarkEnd w:id="4"/>
    </w:p>
    <w:p w:rsidR="005A5B26" w:rsidRDefault="00BB4252">
      <w:pPr>
        <w:pStyle w:val="Heading1"/>
        <w:contextualSpacing w:val="0"/>
      </w:pPr>
      <w:bookmarkStart w:id="5" w:name="h.djec0c6oaqf0" w:colFirst="0" w:colLast="0"/>
      <w:bookmarkEnd w:id="5"/>
      <w:r>
        <w:t>Rostering Requirements</w:t>
      </w:r>
    </w:p>
    <w:p w:rsidR="005A5B26" w:rsidRDefault="00BB4252">
      <w:r>
        <w:t xml:space="preserve">The district is </w:t>
      </w:r>
      <w:r>
        <w:rPr>
          <w:b/>
        </w:rPr>
        <w:t xml:space="preserve">requiring </w:t>
      </w:r>
      <w:r>
        <w:t xml:space="preserve">support for IMS Global </w:t>
      </w:r>
      <w:proofErr w:type="spellStart"/>
      <w:r>
        <w:t>OneRoster</w:t>
      </w:r>
      <w:proofErr w:type="spellEnd"/>
      <w:r>
        <w:t xml:space="preserve"> v1.0 REST API by the 2016-17 school year.  Vendors have the option of supporting the </w:t>
      </w:r>
      <w:proofErr w:type="spellStart"/>
      <w:r>
        <w:t>OneRoster</w:t>
      </w:r>
      <w:proofErr w:type="spellEnd"/>
      <w:r>
        <w:t xml:space="preserve"> v1.0 csv templates for the current school year. Rostering should be provided at no additional cost.</w:t>
      </w:r>
    </w:p>
    <w:p w:rsidR="005A5B26" w:rsidRDefault="005A5B26"/>
    <w:p w:rsidR="005A5B26" w:rsidRDefault="00BB4252">
      <w:pPr>
        <w:jc w:val="center"/>
      </w:pPr>
      <w:r>
        <w:rPr>
          <w:noProof/>
        </w:rPr>
        <w:drawing>
          <wp:inline distT="114300" distB="114300" distL="114300" distR="114300">
            <wp:extent cx="2347913" cy="586978"/>
            <wp:effectExtent l="0" t="0" r="0" b="0"/>
            <wp:docPr id="5"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15"/>
                    <a:srcRect/>
                    <a:stretch>
                      <a:fillRect/>
                    </a:stretch>
                  </pic:blipFill>
                  <pic:spPr>
                    <a:xfrm>
                      <a:off x="0" y="0"/>
                      <a:ext cx="2347913" cy="586978"/>
                    </a:xfrm>
                    <a:prstGeom prst="rect">
                      <a:avLst/>
                    </a:prstGeom>
                    <a:ln/>
                  </pic:spPr>
                </pic:pic>
              </a:graphicData>
            </a:graphic>
          </wp:inline>
        </w:drawing>
      </w:r>
    </w:p>
    <w:p w:rsidR="005A5B26" w:rsidRDefault="00BB4252">
      <w:r>
        <w:t xml:space="preserve">What is </w:t>
      </w:r>
      <w:proofErr w:type="spellStart"/>
      <w:r>
        <w:t>OneRoster</w:t>
      </w:r>
      <w:proofErr w:type="spellEnd"/>
      <w:r>
        <w:t>?</w:t>
      </w:r>
    </w:p>
    <w:p w:rsidR="005A5B26" w:rsidRDefault="000018E5">
      <w:hyperlink r:id="rId16">
        <w:r w:rsidR="00BB4252">
          <w:rPr>
            <w:color w:val="1155CC"/>
            <w:u w:val="single"/>
          </w:rPr>
          <w:t>http://www.imsglobal.org/IMSOneRoster.pdf</w:t>
        </w:r>
      </w:hyperlink>
    </w:p>
    <w:p w:rsidR="005A5B26" w:rsidRDefault="005A5B26"/>
    <w:p w:rsidR="005A5B26" w:rsidRDefault="00BB4252">
      <w:pPr>
        <w:pStyle w:val="Heading2"/>
        <w:contextualSpacing w:val="0"/>
      </w:pPr>
      <w:bookmarkStart w:id="6" w:name="h.xbzyqqdlc99k" w:colFirst="0" w:colLast="0"/>
      <w:bookmarkEnd w:id="6"/>
      <w:r>
        <w:t xml:space="preserve">IMS </w:t>
      </w:r>
      <w:proofErr w:type="spellStart"/>
      <w:r>
        <w:t>OneRoster</w:t>
      </w:r>
      <w:proofErr w:type="spellEnd"/>
      <w:r>
        <w:t xml:space="preserve"> Specification Details </w:t>
      </w:r>
    </w:p>
    <w:p w:rsidR="005A5B26" w:rsidRDefault="00BB4252">
      <w:r>
        <w:t xml:space="preserve">The </w:t>
      </w:r>
      <w:proofErr w:type="spellStart"/>
      <w:r>
        <w:t>OneRoster</w:t>
      </w:r>
      <w:proofErr w:type="spellEnd"/>
      <w:r>
        <w:t xml:space="preserve"> specification has two parts. Part 1 is a set of roster services ​that allow rosters to be exchanged between an SIS and a Digital Learning Platform or an SIS and a Publisher Platform or Tool. The roster services are defined as a RESTful API. </w:t>
      </w:r>
    </w:p>
    <w:p w:rsidR="005A5B26" w:rsidRDefault="005A5B26"/>
    <w:p w:rsidR="005A5B26" w:rsidRDefault="00BB4252">
      <w:r>
        <w:t xml:space="preserve">The initial set of services ​that have been defined address: </w:t>
      </w:r>
    </w:p>
    <w:p w:rsidR="005A5B26" w:rsidRDefault="005A5B26"/>
    <w:p w:rsidR="005A5B26" w:rsidRDefault="00BB4252">
      <w:pPr>
        <w:ind w:left="720"/>
      </w:pPr>
      <w:r>
        <w:t xml:space="preserve">● Organizations </w:t>
      </w:r>
    </w:p>
    <w:p w:rsidR="005A5B26" w:rsidRDefault="00BB4252">
      <w:pPr>
        <w:ind w:left="720"/>
      </w:pPr>
      <w:r>
        <w:t xml:space="preserve">● Courses </w:t>
      </w:r>
    </w:p>
    <w:p w:rsidR="005A5B26" w:rsidRDefault="00BB4252">
      <w:pPr>
        <w:ind w:left="720"/>
      </w:pPr>
      <w:r>
        <w:t xml:space="preserve">● Classes </w:t>
      </w:r>
    </w:p>
    <w:p w:rsidR="005A5B26" w:rsidRDefault="00BB4252">
      <w:pPr>
        <w:ind w:left="720"/>
      </w:pPr>
      <w:r>
        <w:t xml:space="preserve">● Term and Grading period </w:t>
      </w:r>
    </w:p>
    <w:p w:rsidR="005A5B26" w:rsidRDefault="00BB4252">
      <w:pPr>
        <w:ind w:left="720"/>
      </w:pPr>
      <w:r>
        <w:t xml:space="preserve">● User information (Teacher, Student etc.) </w:t>
      </w:r>
    </w:p>
    <w:p w:rsidR="005A5B26" w:rsidRDefault="00BB4252">
      <w:pPr>
        <w:ind w:left="720"/>
      </w:pPr>
      <w:r>
        <w:t xml:space="preserve">● Grade information </w:t>
      </w:r>
    </w:p>
    <w:p w:rsidR="005A5B26" w:rsidRDefault="00BB4252">
      <w:pPr>
        <w:ind w:left="720"/>
      </w:pPr>
      <w:r>
        <w:t>● Demographics</w:t>
      </w:r>
    </w:p>
    <w:p w:rsidR="005A5B26" w:rsidRDefault="005A5B26"/>
    <w:p w:rsidR="005A5B26" w:rsidRDefault="00BB4252">
      <w:r>
        <w:t xml:space="preserve">Part 2 is a set of CSV definitions ​that can be used to standardize the exchange of roster information for those implementations that do not currently implement a services​ model. </w:t>
      </w:r>
    </w:p>
    <w:p w:rsidR="005A5B26" w:rsidRDefault="00BB4252">
      <w:r>
        <w:t xml:space="preserve">The initial set of CSV definitions are for: </w:t>
      </w:r>
    </w:p>
    <w:p w:rsidR="005A5B26" w:rsidRDefault="005A5B26"/>
    <w:p w:rsidR="005A5B26" w:rsidRDefault="00BB4252">
      <w:pPr>
        <w:ind w:left="720"/>
      </w:pPr>
      <w:r>
        <w:t xml:space="preserve">● ORGS.CSV </w:t>
      </w:r>
    </w:p>
    <w:p w:rsidR="005A5B26" w:rsidRDefault="00BB4252">
      <w:pPr>
        <w:ind w:left="720"/>
      </w:pPr>
      <w:r>
        <w:t xml:space="preserve">● USERS.CSV </w:t>
      </w:r>
    </w:p>
    <w:p w:rsidR="005A5B26" w:rsidRDefault="00BB4252">
      <w:pPr>
        <w:ind w:left="720"/>
      </w:pPr>
      <w:r>
        <w:t xml:space="preserve">● COURSES.CSV </w:t>
      </w:r>
    </w:p>
    <w:p w:rsidR="005A5B26" w:rsidRDefault="00BB4252">
      <w:pPr>
        <w:ind w:left="720"/>
      </w:pPr>
      <w:r>
        <w:t xml:space="preserve">● CLASSES.CSV </w:t>
      </w:r>
    </w:p>
    <w:p w:rsidR="005A5B26" w:rsidRDefault="00BB4252">
      <w:pPr>
        <w:ind w:left="720"/>
      </w:pPr>
      <w:r>
        <w:t xml:space="preserve">● TERMS.CSV </w:t>
      </w:r>
    </w:p>
    <w:p w:rsidR="005A5B26" w:rsidRDefault="00BB4252">
      <w:pPr>
        <w:ind w:left="720"/>
      </w:pPr>
      <w:r>
        <w:t xml:space="preserve">● GRADINGPERIODS.CSV </w:t>
      </w:r>
    </w:p>
    <w:p w:rsidR="005A5B26" w:rsidRDefault="00BB4252">
      <w:pPr>
        <w:ind w:left="720"/>
      </w:pPr>
      <w:r>
        <w:t>● DEMOGRAPHICS.CSV (optional)</w:t>
      </w:r>
    </w:p>
    <w:p w:rsidR="005A5B26" w:rsidRDefault="005A5B26">
      <w:pPr>
        <w:ind w:left="720"/>
      </w:pPr>
    </w:p>
    <w:p w:rsidR="005A5B26" w:rsidRDefault="00BB4252">
      <w:r>
        <w:t xml:space="preserve">The </w:t>
      </w:r>
      <w:proofErr w:type="spellStart"/>
      <w:r>
        <w:t>OneRoster</w:t>
      </w:r>
      <w:proofErr w:type="spellEnd"/>
      <w:r>
        <w:t xml:space="preserve"> v.1 specification can be found here: </w:t>
      </w:r>
      <w:hyperlink r:id="rId17">
        <w:r>
          <w:rPr>
            <w:color w:val="1155CC"/>
            <w:u w:val="single"/>
          </w:rPr>
          <w:t>http://www.imsglobal.org/lis/</w:t>
        </w:r>
      </w:hyperlink>
    </w:p>
    <w:p w:rsidR="005A5B26" w:rsidRDefault="00BB4252">
      <w:pPr>
        <w:pStyle w:val="Heading1"/>
        <w:contextualSpacing w:val="0"/>
      </w:pPr>
      <w:bookmarkStart w:id="7" w:name="h.fnx19fbe08o5" w:colFirst="0" w:colLast="0"/>
      <w:bookmarkEnd w:id="7"/>
      <w:r>
        <w:t>Integration Checklist</w:t>
      </w:r>
    </w:p>
    <w:p w:rsidR="005A5B26" w:rsidRDefault="005A5B26"/>
    <w:tbl>
      <w:tblPr>
        <w:tblStyle w:val="a"/>
        <w:tblW w:w="10650" w:type="dxa"/>
        <w:tblInd w:w="-6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45"/>
        <w:gridCol w:w="5580"/>
        <w:gridCol w:w="1005"/>
        <w:gridCol w:w="3420"/>
      </w:tblGrid>
      <w:tr w:rsidR="005A5B26">
        <w:tc>
          <w:tcPr>
            <w:tcW w:w="645" w:type="dxa"/>
            <w:tcMar>
              <w:top w:w="100" w:type="dxa"/>
              <w:left w:w="100" w:type="dxa"/>
              <w:bottom w:w="100" w:type="dxa"/>
              <w:right w:w="100" w:type="dxa"/>
            </w:tcMar>
          </w:tcPr>
          <w:p w:rsidR="005A5B26" w:rsidRDefault="00BB4252">
            <w:pPr>
              <w:widowControl w:val="0"/>
              <w:spacing w:line="240" w:lineRule="auto"/>
            </w:pPr>
            <w:r>
              <w:rPr>
                <w:b/>
              </w:rPr>
              <w:t>#</w:t>
            </w:r>
          </w:p>
        </w:tc>
        <w:tc>
          <w:tcPr>
            <w:tcW w:w="5580" w:type="dxa"/>
            <w:tcMar>
              <w:top w:w="100" w:type="dxa"/>
              <w:left w:w="100" w:type="dxa"/>
              <w:bottom w:w="100" w:type="dxa"/>
              <w:right w:w="100" w:type="dxa"/>
            </w:tcMar>
          </w:tcPr>
          <w:p w:rsidR="005A5B26" w:rsidRDefault="00BB4252">
            <w:pPr>
              <w:widowControl w:val="0"/>
              <w:spacing w:line="240" w:lineRule="auto"/>
            </w:pPr>
            <w:r>
              <w:rPr>
                <w:b/>
              </w:rPr>
              <w:t>Requirement</w:t>
            </w:r>
          </w:p>
        </w:tc>
        <w:tc>
          <w:tcPr>
            <w:tcW w:w="1005" w:type="dxa"/>
            <w:tcMar>
              <w:top w:w="100" w:type="dxa"/>
              <w:left w:w="100" w:type="dxa"/>
              <w:bottom w:w="100" w:type="dxa"/>
              <w:right w:w="100" w:type="dxa"/>
            </w:tcMar>
          </w:tcPr>
          <w:p w:rsidR="005A5B26" w:rsidRDefault="00BB4252">
            <w:pPr>
              <w:widowControl w:val="0"/>
              <w:spacing w:line="240" w:lineRule="auto"/>
            </w:pPr>
            <w:r>
              <w:rPr>
                <w:b/>
              </w:rPr>
              <w:t>Yes/No</w:t>
            </w:r>
          </w:p>
        </w:tc>
        <w:tc>
          <w:tcPr>
            <w:tcW w:w="3420" w:type="dxa"/>
            <w:tcMar>
              <w:top w:w="100" w:type="dxa"/>
              <w:left w:w="100" w:type="dxa"/>
              <w:bottom w:w="100" w:type="dxa"/>
              <w:right w:w="100" w:type="dxa"/>
            </w:tcMar>
          </w:tcPr>
          <w:p w:rsidR="005A5B26" w:rsidRDefault="00BB4252">
            <w:pPr>
              <w:widowControl w:val="0"/>
              <w:spacing w:line="240" w:lineRule="auto"/>
            </w:pPr>
            <w:r>
              <w:rPr>
                <w:b/>
              </w:rPr>
              <w:t>Comments</w:t>
            </w:r>
          </w:p>
        </w:tc>
      </w:tr>
      <w:tr w:rsidR="005A5B26">
        <w:tc>
          <w:tcPr>
            <w:tcW w:w="645" w:type="dxa"/>
            <w:tcMar>
              <w:top w:w="100" w:type="dxa"/>
              <w:left w:w="100" w:type="dxa"/>
              <w:bottom w:w="100" w:type="dxa"/>
              <w:right w:w="100" w:type="dxa"/>
            </w:tcMar>
          </w:tcPr>
          <w:p w:rsidR="005A5B26" w:rsidRDefault="00BB4252">
            <w:pPr>
              <w:widowControl w:val="0"/>
              <w:spacing w:line="240" w:lineRule="auto"/>
            </w:pPr>
            <w:r>
              <w:t>1</w:t>
            </w:r>
          </w:p>
        </w:tc>
        <w:tc>
          <w:tcPr>
            <w:tcW w:w="5580" w:type="dxa"/>
            <w:tcMar>
              <w:top w:w="100" w:type="dxa"/>
              <w:left w:w="100" w:type="dxa"/>
              <w:bottom w:w="100" w:type="dxa"/>
              <w:right w:w="100" w:type="dxa"/>
            </w:tcMar>
          </w:tcPr>
          <w:p w:rsidR="005A5B26" w:rsidRDefault="00BB4252">
            <w:pPr>
              <w:spacing w:line="240" w:lineRule="auto"/>
            </w:pPr>
            <w:r>
              <w:rPr>
                <w:sz w:val="20"/>
                <w:szCs w:val="20"/>
              </w:rPr>
              <w:t>Does your system require roster data? If not, go to section 2.</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1.a</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 xml:space="preserve">Do you currently support the </w:t>
            </w:r>
            <w:proofErr w:type="spellStart"/>
            <w:r>
              <w:rPr>
                <w:sz w:val="20"/>
                <w:szCs w:val="20"/>
              </w:rPr>
              <w:t>OneRoster</w:t>
            </w:r>
            <w:proofErr w:type="spellEnd"/>
            <w:r>
              <w:rPr>
                <w:sz w:val="20"/>
                <w:szCs w:val="20"/>
              </w:rPr>
              <w:t xml:space="preserve"> REST API?</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1.b</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 xml:space="preserve">If no to 1.a,  will you support </w:t>
            </w:r>
            <w:proofErr w:type="spellStart"/>
            <w:r>
              <w:rPr>
                <w:sz w:val="20"/>
                <w:szCs w:val="20"/>
              </w:rPr>
              <w:t>OneRoster</w:t>
            </w:r>
            <w:proofErr w:type="spellEnd"/>
            <w:r>
              <w:rPr>
                <w:sz w:val="20"/>
                <w:szCs w:val="20"/>
              </w:rPr>
              <w:t xml:space="preserve"> REST API by Fall 2016?</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1.c</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 xml:space="preserve">If you do not support the </w:t>
            </w:r>
            <w:proofErr w:type="spellStart"/>
            <w:r>
              <w:rPr>
                <w:sz w:val="20"/>
                <w:szCs w:val="20"/>
              </w:rPr>
              <w:t>OneRoster</w:t>
            </w:r>
            <w:proofErr w:type="spellEnd"/>
            <w:r>
              <w:rPr>
                <w:sz w:val="20"/>
                <w:szCs w:val="20"/>
              </w:rPr>
              <w:t xml:space="preserve"> REST API, will you accept </w:t>
            </w:r>
            <w:proofErr w:type="spellStart"/>
            <w:r>
              <w:rPr>
                <w:sz w:val="20"/>
                <w:szCs w:val="20"/>
              </w:rPr>
              <w:t>OneRoster</w:t>
            </w:r>
            <w:proofErr w:type="spellEnd"/>
            <w:r>
              <w:rPr>
                <w:sz w:val="20"/>
                <w:szCs w:val="20"/>
              </w:rPr>
              <w:t xml:space="preserve"> csv files to an SFTP site where we can automatically upload these files?</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2</w:t>
            </w:r>
          </w:p>
        </w:tc>
        <w:tc>
          <w:tcPr>
            <w:tcW w:w="5580" w:type="dxa"/>
            <w:tcMar>
              <w:top w:w="100" w:type="dxa"/>
              <w:left w:w="100" w:type="dxa"/>
              <w:bottom w:w="100" w:type="dxa"/>
              <w:right w:w="100" w:type="dxa"/>
            </w:tcMar>
          </w:tcPr>
          <w:p w:rsidR="005A5B26" w:rsidRDefault="00BB4252">
            <w:pPr>
              <w:spacing w:line="240" w:lineRule="auto"/>
            </w:pPr>
            <w:r>
              <w:rPr>
                <w:sz w:val="20"/>
                <w:szCs w:val="20"/>
              </w:rPr>
              <w:t>Our district requires single sign-on for all users, do you have any methods for single sign-on?</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2.1</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Do you support ADFS or SAML?</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2.2</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Do you support LTI v1.0 basic launch links?</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3</w:t>
            </w:r>
          </w:p>
        </w:tc>
        <w:tc>
          <w:tcPr>
            <w:tcW w:w="5580" w:type="dxa"/>
            <w:tcMar>
              <w:top w:w="100" w:type="dxa"/>
              <w:left w:w="100" w:type="dxa"/>
              <w:bottom w:w="100" w:type="dxa"/>
              <w:right w:w="100" w:type="dxa"/>
            </w:tcMar>
          </w:tcPr>
          <w:p w:rsidR="005A5B26" w:rsidRDefault="00BB4252">
            <w:pPr>
              <w:widowControl w:val="0"/>
              <w:spacing w:line="240" w:lineRule="auto"/>
            </w:pPr>
            <w:r>
              <w:rPr>
                <w:sz w:val="20"/>
                <w:szCs w:val="20"/>
              </w:rPr>
              <w:t>Are you familiar with IMS Global?</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3.1</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Are you a member of IMS Global?</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r w:rsidR="005A5B26">
        <w:tc>
          <w:tcPr>
            <w:tcW w:w="645" w:type="dxa"/>
            <w:tcMar>
              <w:top w:w="100" w:type="dxa"/>
              <w:left w:w="100" w:type="dxa"/>
              <w:bottom w:w="100" w:type="dxa"/>
              <w:right w:w="100" w:type="dxa"/>
            </w:tcMar>
          </w:tcPr>
          <w:p w:rsidR="005A5B26" w:rsidRDefault="00BB4252">
            <w:pPr>
              <w:widowControl w:val="0"/>
              <w:spacing w:line="240" w:lineRule="auto"/>
            </w:pPr>
            <w:r>
              <w:t>3.2</w:t>
            </w:r>
          </w:p>
        </w:tc>
        <w:tc>
          <w:tcPr>
            <w:tcW w:w="5580" w:type="dxa"/>
            <w:tcMar>
              <w:top w:w="100" w:type="dxa"/>
              <w:left w:w="100" w:type="dxa"/>
              <w:bottom w:w="100" w:type="dxa"/>
              <w:right w:w="100" w:type="dxa"/>
            </w:tcMar>
          </w:tcPr>
          <w:p w:rsidR="005A5B26" w:rsidRDefault="00BB4252">
            <w:pPr>
              <w:widowControl w:val="0"/>
              <w:spacing w:line="240" w:lineRule="auto"/>
              <w:ind w:left="720"/>
            </w:pPr>
            <w:r>
              <w:rPr>
                <w:sz w:val="20"/>
                <w:szCs w:val="20"/>
              </w:rPr>
              <w:t>Is your solution certified by IMS Global? If so, please include link to certification.</w:t>
            </w:r>
          </w:p>
        </w:tc>
        <w:tc>
          <w:tcPr>
            <w:tcW w:w="1005" w:type="dxa"/>
            <w:tcMar>
              <w:top w:w="100" w:type="dxa"/>
              <w:left w:w="100" w:type="dxa"/>
              <w:bottom w:w="100" w:type="dxa"/>
              <w:right w:w="100" w:type="dxa"/>
            </w:tcMar>
          </w:tcPr>
          <w:p w:rsidR="005A5B26" w:rsidRDefault="005A5B26">
            <w:pPr>
              <w:widowControl w:val="0"/>
              <w:spacing w:line="240" w:lineRule="auto"/>
            </w:pPr>
          </w:p>
        </w:tc>
        <w:tc>
          <w:tcPr>
            <w:tcW w:w="3420" w:type="dxa"/>
            <w:tcMar>
              <w:top w:w="100" w:type="dxa"/>
              <w:left w:w="100" w:type="dxa"/>
              <w:bottom w:w="100" w:type="dxa"/>
              <w:right w:w="100" w:type="dxa"/>
            </w:tcMar>
          </w:tcPr>
          <w:p w:rsidR="005A5B26" w:rsidRDefault="005A5B26">
            <w:pPr>
              <w:widowControl w:val="0"/>
              <w:spacing w:line="240" w:lineRule="auto"/>
            </w:pPr>
          </w:p>
        </w:tc>
      </w:tr>
    </w:tbl>
    <w:p w:rsidR="005A5B26" w:rsidRDefault="005A5B26"/>
    <w:p w:rsidR="005A5B26" w:rsidRDefault="00BB4252">
      <w:pPr>
        <w:jc w:val="center"/>
      </w:pPr>
      <w:r>
        <w:rPr>
          <w:noProof/>
        </w:rPr>
        <w:drawing>
          <wp:inline distT="114300" distB="114300" distL="114300" distR="114300">
            <wp:extent cx="1366838" cy="1049344"/>
            <wp:effectExtent l="0" t="0" r="0" b="0"/>
            <wp:docPr id="3"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18"/>
                    <a:srcRect/>
                    <a:stretch>
                      <a:fillRect/>
                    </a:stretch>
                  </pic:blipFill>
                  <pic:spPr>
                    <a:xfrm>
                      <a:off x="0" y="0"/>
                      <a:ext cx="1366838" cy="1049344"/>
                    </a:xfrm>
                    <a:prstGeom prst="rect">
                      <a:avLst/>
                    </a:prstGeom>
                    <a:ln/>
                  </pic:spPr>
                </pic:pic>
              </a:graphicData>
            </a:graphic>
          </wp:inline>
        </w:drawing>
      </w:r>
    </w:p>
    <w:p w:rsidR="005A5B26" w:rsidRDefault="00BB4252">
      <w:pPr>
        <w:jc w:val="center"/>
      </w:pPr>
      <w:r>
        <w:rPr>
          <w:noProof/>
        </w:rPr>
        <w:drawing>
          <wp:inline distT="114300" distB="114300" distL="114300" distR="114300">
            <wp:extent cx="847725" cy="403679"/>
            <wp:effectExtent l="0" t="0" r="0" b="0"/>
            <wp:docPr id="6"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19"/>
                    <a:srcRect/>
                    <a:stretch>
                      <a:fillRect/>
                    </a:stretch>
                  </pic:blipFill>
                  <pic:spPr>
                    <a:xfrm>
                      <a:off x="0" y="0"/>
                      <a:ext cx="847725" cy="403679"/>
                    </a:xfrm>
                    <a:prstGeom prst="rect">
                      <a:avLst/>
                    </a:prstGeom>
                    <a:ln/>
                  </pic:spPr>
                </pic:pic>
              </a:graphicData>
            </a:graphic>
          </wp:inline>
        </w:drawing>
      </w:r>
    </w:p>
    <w:p w:rsidR="005A5B26" w:rsidRDefault="000018E5" w:rsidP="00746113">
      <w:pPr>
        <w:jc w:val="center"/>
      </w:pPr>
      <w:hyperlink r:id="rId20">
        <w:r w:rsidR="00BB4252">
          <w:rPr>
            <w:color w:val="1155CC"/>
            <w:sz w:val="20"/>
            <w:szCs w:val="20"/>
          </w:rPr>
          <w:t>http://facts.education/join</w:t>
        </w:r>
      </w:hyperlink>
    </w:p>
    <w:sectPr w:rsidR="005A5B26">
      <w:headerReference w:type="default" r:id="rId21"/>
      <w:footerReference w:type="default" r:id="rId22"/>
      <w:headerReference w:type="first" r:id="rId23"/>
      <w:footerReference w:type="first" r:id="rId24"/>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4252" w:rsidRDefault="00BB4252">
      <w:pPr>
        <w:spacing w:line="240" w:lineRule="auto"/>
      </w:pPr>
      <w:r>
        <w:separator/>
      </w:r>
    </w:p>
  </w:endnote>
  <w:endnote w:type="continuationSeparator" w:id="0">
    <w:p w:rsidR="00BB4252" w:rsidRDefault="00BB42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B26" w:rsidRDefault="005A5B26">
    <w:pPr>
      <w:jc w:val="right"/>
    </w:pPr>
  </w:p>
  <w:p w:rsidR="005A5B26" w:rsidRDefault="005A5B26">
    <w:pPr>
      <w:jc w:val="right"/>
    </w:pPr>
  </w:p>
  <w:p w:rsidR="005A5B26" w:rsidRDefault="000018E5">
    <w:hyperlink r:id="rId1">
      <w:r w:rsidR="00BB4252">
        <w:rPr>
          <w:color w:val="666666"/>
          <w:sz w:val="18"/>
          <w:szCs w:val="18"/>
        </w:rPr>
        <w:t>http://facts.education</w:t>
      </w:r>
    </w:hyperlink>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rPr>
        <w:color w:val="666666"/>
        <w:sz w:val="18"/>
        <w:szCs w:val="18"/>
      </w:rPr>
      <w:tab/>
    </w:r>
    <w:r w:rsidR="00BB4252">
      <w:fldChar w:fldCharType="begin"/>
    </w:r>
    <w:r w:rsidR="00BB4252">
      <w:instrText>PAGE</w:instrText>
    </w:r>
    <w:r w:rsidR="00BB4252">
      <w:fldChar w:fldCharType="separate"/>
    </w:r>
    <w:r>
      <w:rPr>
        <w:noProof/>
      </w:rPr>
      <w:t>4</w:t>
    </w:r>
    <w:r w:rsidR="00BB4252">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B26" w:rsidRDefault="005A5B2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4252" w:rsidRDefault="00BB4252">
      <w:pPr>
        <w:spacing w:line="240" w:lineRule="auto"/>
      </w:pPr>
      <w:r>
        <w:separator/>
      </w:r>
    </w:p>
  </w:footnote>
  <w:footnote w:type="continuationSeparator" w:id="0">
    <w:p w:rsidR="00BB4252" w:rsidRDefault="00BB4252">
      <w:pPr>
        <w:spacing w:line="240" w:lineRule="auto"/>
      </w:pPr>
      <w:r>
        <w:continuationSeparator/>
      </w:r>
    </w:p>
  </w:footnote>
  <w:footnote w:id="1">
    <w:p w:rsidR="005A5B26" w:rsidRDefault="00BB4252">
      <w:pPr>
        <w:spacing w:line="240" w:lineRule="auto"/>
      </w:pPr>
      <w:r>
        <w:rPr>
          <w:vertAlign w:val="superscript"/>
        </w:rPr>
        <w:footnoteRef/>
      </w:r>
      <w:r>
        <w:rPr>
          <w:sz w:val="20"/>
          <w:szCs w:val="20"/>
        </w:rPr>
        <w:t xml:space="preserve"> Computers in Human </w:t>
      </w:r>
      <w:proofErr w:type="spellStart"/>
      <w:r>
        <w:rPr>
          <w:sz w:val="20"/>
          <w:szCs w:val="20"/>
        </w:rPr>
        <w:t>Behaviour</w:t>
      </w:r>
      <w:proofErr w:type="spellEnd"/>
      <w:r>
        <w:rPr>
          <w:sz w:val="20"/>
          <w:szCs w:val="20"/>
        </w:rPr>
        <w:t xml:space="preserve">, </w:t>
      </w:r>
      <w:proofErr w:type="spellStart"/>
      <w:r>
        <w:rPr>
          <w:sz w:val="20"/>
          <w:szCs w:val="20"/>
        </w:rPr>
        <w:t>Saade</w:t>
      </w:r>
      <w:proofErr w:type="spellEnd"/>
      <w:r>
        <w:rPr>
          <w:sz w:val="20"/>
          <w:szCs w:val="20"/>
        </w:rPr>
        <w:t xml:space="preserve"> and </w:t>
      </w:r>
      <w:proofErr w:type="spellStart"/>
      <w:r>
        <w:rPr>
          <w:sz w:val="20"/>
          <w:szCs w:val="20"/>
        </w:rPr>
        <w:t>Otrakji</w:t>
      </w:r>
      <w:proofErr w:type="spellEnd"/>
      <w:r>
        <w:rPr>
          <w:sz w:val="20"/>
          <w:szCs w:val="20"/>
        </w:rPr>
        <w:t>, “</w:t>
      </w:r>
      <w:hyperlink r:id="rId1">
        <w:r>
          <w:rPr>
            <w:color w:val="1155CC"/>
            <w:sz w:val="20"/>
            <w:szCs w:val="20"/>
            <w:u w:val="single"/>
          </w:rPr>
          <w:t>First impressions last a lifetime: effect of interface type on disorientation and cognitive load</w:t>
        </w:r>
      </w:hyperlink>
      <w:r>
        <w:rPr>
          <w:sz w:val="20"/>
          <w:szCs w:val="20"/>
        </w:rPr>
        <w:t>”, 2007</w:t>
      </w:r>
    </w:p>
    <w:p w:rsidR="005A5B26" w:rsidRDefault="005A5B26">
      <w:pPr>
        <w:spacing w:line="240" w:lineRule="auto"/>
      </w:pPr>
    </w:p>
    <w:p w:rsidR="005A5B26" w:rsidRDefault="00BB4252">
      <w:pPr>
        <w:spacing w:line="240" w:lineRule="auto"/>
      </w:pPr>
      <w:r>
        <w:rPr>
          <w:sz w:val="20"/>
          <w:szCs w:val="20"/>
        </w:rPr>
        <w:t xml:space="preserve">Journal of the Association for Psychological Science, Willis and </w:t>
      </w:r>
      <w:proofErr w:type="spellStart"/>
      <w:r>
        <w:rPr>
          <w:sz w:val="20"/>
          <w:szCs w:val="20"/>
        </w:rPr>
        <w:t>Todorov</w:t>
      </w:r>
      <w:proofErr w:type="spellEnd"/>
      <w:r>
        <w:rPr>
          <w:sz w:val="20"/>
          <w:szCs w:val="20"/>
        </w:rPr>
        <w:t>, Princeton, “</w:t>
      </w:r>
      <w:hyperlink r:id="rId2">
        <w:r>
          <w:rPr>
            <w:color w:val="1155CC"/>
            <w:sz w:val="20"/>
            <w:szCs w:val="20"/>
            <w:u w:val="single"/>
          </w:rPr>
          <w:t>First Impressions Making Up Your Mind After a 100ms Exposure to a Face</w:t>
        </w:r>
      </w:hyperlink>
      <w:r>
        <w:rPr>
          <w:sz w:val="20"/>
          <w:szCs w:val="20"/>
        </w:rPr>
        <w:t>”, 2006</w:t>
      </w:r>
    </w:p>
    <w:p w:rsidR="005A5B26" w:rsidRDefault="005A5B26">
      <w:pPr>
        <w:spacing w:line="240" w:lineRule="auto"/>
      </w:pPr>
    </w:p>
    <w:p w:rsidR="005A5B26" w:rsidRDefault="00BB4252">
      <w:pPr>
        <w:spacing w:line="240" w:lineRule="auto"/>
      </w:pPr>
      <w:r>
        <w:rPr>
          <w:sz w:val="20"/>
          <w:szCs w:val="20"/>
        </w:rPr>
        <w:t xml:space="preserve">Taylor &amp; Francis Online, </w:t>
      </w:r>
      <w:proofErr w:type="spellStart"/>
      <w:r>
        <w:rPr>
          <w:sz w:val="20"/>
          <w:szCs w:val="20"/>
        </w:rPr>
        <w:t>Lindgaard</w:t>
      </w:r>
      <w:proofErr w:type="spellEnd"/>
      <w:r>
        <w:rPr>
          <w:sz w:val="20"/>
          <w:szCs w:val="20"/>
        </w:rPr>
        <w:t xml:space="preserve">, </w:t>
      </w:r>
      <w:proofErr w:type="spellStart"/>
      <w:r>
        <w:rPr>
          <w:sz w:val="20"/>
          <w:szCs w:val="20"/>
        </w:rPr>
        <w:t>Fernandes</w:t>
      </w:r>
      <w:proofErr w:type="spellEnd"/>
      <w:r>
        <w:rPr>
          <w:sz w:val="20"/>
          <w:szCs w:val="20"/>
        </w:rPr>
        <w:t xml:space="preserve">, </w:t>
      </w:r>
      <w:proofErr w:type="spellStart"/>
      <w:r>
        <w:rPr>
          <w:sz w:val="20"/>
          <w:szCs w:val="20"/>
        </w:rPr>
        <w:t>Dudek</w:t>
      </w:r>
      <w:proofErr w:type="spellEnd"/>
      <w:r>
        <w:rPr>
          <w:sz w:val="20"/>
          <w:szCs w:val="20"/>
        </w:rPr>
        <w:t xml:space="preserve"> and Brown, “</w:t>
      </w:r>
      <w:hyperlink r:id="rId3">
        <w:r>
          <w:rPr>
            <w:color w:val="1155CC"/>
            <w:sz w:val="20"/>
            <w:szCs w:val="20"/>
            <w:u w:val="single"/>
          </w:rPr>
          <w:t>Attention web designers: You have 50 milliseconds to make a good first impression!</w:t>
        </w:r>
      </w:hyperlink>
      <w:r>
        <w:rPr>
          <w:sz w:val="20"/>
          <w:szCs w:val="20"/>
        </w:rPr>
        <w:t>”, 2011</w:t>
      </w:r>
    </w:p>
    <w:p w:rsidR="005A5B26" w:rsidRDefault="005A5B26">
      <w:pPr>
        <w:spacing w:line="240" w:lineRule="auto"/>
      </w:pPr>
    </w:p>
    <w:p w:rsidR="005A5B26" w:rsidRDefault="00BB4252">
      <w:pPr>
        <w:spacing w:line="240" w:lineRule="auto"/>
      </w:pPr>
      <w:r>
        <w:rPr>
          <w:sz w:val="20"/>
          <w:szCs w:val="20"/>
        </w:rPr>
        <w:t xml:space="preserve">American Psychological Association, Bar, </w:t>
      </w:r>
      <w:proofErr w:type="spellStart"/>
      <w:r>
        <w:rPr>
          <w:sz w:val="20"/>
          <w:szCs w:val="20"/>
        </w:rPr>
        <w:t>Neta</w:t>
      </w:r>
      <w:proofErr w:type="spellEnd"/>
      <w:r>
        <w:rPr>
          <w:sz w:val="20"/>
          <w:szCs w:val="20"/>
        </w:rPr>
        <w:t>, and Linz, “</w:t>
      </w:r>
      <w:hyperlink r:id="rId4">
        <w:r>
          <w:rPr>
            <w:color w:val="1155CC"/>
            <w:sz w:val="20"/>
            <w:szCs w:val="20"/>
            <w:u w:val="single"/>
          </w:rPr>
          <w:t>Very First Impressions</w:t>
        </w:r>
      </w:hyperlink>
      <w:r>
        <w:rPr>
          <w:sz w:val="20"/>
          <w:szCs w:val="20"/>
        </w:rPr>
        <w:t xml:space="preserve">”, 2006 </w:t>
      </w:r>
    </w:p>
    <w:p w:rsidR="005A5B26" w:rsidRDefault="005A5B26">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B26" w:rsidRDefault="005A5B26">
    <w:pPr>
      <w:jc w:val="center"/>
    </w:pPr>
  </w:p>
  <w:p w:rsidR="005A5B26" w:rsidRDefault="00BB4252">
    <w:pPr>
      <w:jc w:val="center"/>
    </w:pPr>
    <w:r>
      <w:rPr>
        <w:noProof/>
      </w:rPr>
      <w:drawing>
        <wp:anchor distT="114300" distB="114300" distL="114300" distR="114300" simplePos="0" relativeHeight="251658240" behindDoc="0" locked="0" layoutInCell="0" hidden="0" allowOverlap="0">
          <wp:simplePos x="0" y="0"/>
          <wp:positionH relativeFrom="margin">
            <wp:posOffset>4581525</wp:posOffset>
          </wp:positionH>
          <wp:positionV relativeFrom="paragraph">
            <wp:posOffset>28575</wp:posOffset>
          </wp:positionV>
          <wp:extent cx="1328738" cy="1019946"/>
          <wp:effectExtent l="0" t="0" r="0" b="0"/>
          <wp:wrapSquare wrapText="bothSides" distT="114300" distB="114300" distL="114300" distR="114300"/>
          <wp:docPr id="2"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1"/>
                  <a:srcRect/>
                  <a:stretch>
                    <a:fillRect/>
                  </a:stretch>
                </pic:blipFill>
                <pic:spPr>
                  <a:xfrm>
                    <a:off x="0" y="0"/>
                    <a:ext cx="1328738" cy="1019946"/>
                  </a:xfrm>
                  <a:prstGeom prst="rect">
                    <a:avLst/>
                  </a:prstGeom>
                  <a:ln/>
                </pic:spPr>
              </pic:pic>
            </a:graphicData>
          </a:graphic>
        </wp:anchor>
      </w:drawing>
    </w:r>
  </w:p>
  <w:p w:rsidR="005A5B26" w:rsidRDefault="005A5B26">
    <w:pPr>
      <w:jc w:val="center"/>
    </w:pPr>
  </w:p>
  <w:p w:rsidR="005A5B26" w:rsidRDefault="00BB4252">
    <w:pPr>
      <w:pStyle w:val="Heading1"/>
      <w:contextualSpacing w:val="0"/>
    </w:pPr>
    <w:bookmarkStart w:id="8" w:name="h.pqikzyoj6itm" w:colFirst="0" w:colLast="0"/>
    <w:bookmarkEnd w:id="8"/>
    <w:r>
      <w:t xml:space="preserve">Request For Proposal Guidance </w:t>
    </w:r>
    <w:r>
      <w:br/>
    </w:r>
    <w:r>
      <w:rPr>
        <w:b/>
      </w:rPr>
      <w:t>Single Sign-On and Class Rosters</w:t>
    </w:r>
  </w:p>
  <w:p w:rsidR="005A5B26" w:rsidRDefault="005A5B26">
    <w:pPr>
      <w:jc w:val="cent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5B26" w:rsidRDefault="005A5B26">
    <w:pPr>
      <w:jc w:val="center"/>
    </w:pPr>
  </w:p>
  <w:p w:rsidR="005A5B26" w:rsidRDefault="00BB4252">
    <w:pPr>
      <w:jc w:val="center"/>
    </w:pPr>
    <w:r>
      <w:rPr>
        <w:noProof/>
      </w:rPr>
      <w:drawing>
        <wp:inline distT="114300" distB="114300" distL="114300" distR="114300">
          <wp:extent cx="1328738" cy="1019946"/>
          <wp:effectExtent l="0" t="0" r="0" b="0"/>
          <wp:docPr id="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1"/>
                  <a:srcRect/>
                  <a:stretch>
                    <a:fillRect/>
                  </a:stretch>
                </pic:blipFill>
                <pic:spPr>
                  <a:xfrm>
                    <a:off x="0" y="0"/>
                    <a:ext cx="1328738" cy="1019946"/>
                  </a:xfrm>
                  <a:prstGeom prst="rect">
                    <a:avLst/>
                  </a:prstGeom>
                  <a:ln/>
                </pic:spPr>
              </pic:pic>
            </a:graphicData>
          </a:graphic>
        </wp:inline>
      </w:drawing>
    </w:r>
  </w:p>
  <w:p w:rsidR="005A5B26" w:rsidRDefault="00BB4252">
    <w:pPr>
      <w:spacing w:line="240" w:lineRule="auto"/>
      <w:jc w:val="center"/>
    </w:pPr>
    <w:r>
      <w:rPr>
        <w:rFonts w:ascii="Calibri" w:eastAsia="Calibri" w:hAnsi="Calibri" w:cs="Calibri"/>
        <w:i/>
      </w:rPr>
      <w:t xml:space="preserve">We are a collective of school technology leaders </w:t>
    </w:r>
    <w:r>
      <w:rPr>
        <w:rFonts w:ascii="Calibri" w:eastAsia="Calibri" w:hAnsi="Calibri" w:cs="Calibri"/>
        <w:i/>
      </w:rPr>
      <w:br/>
      <w:t xml:space="preserve">advocating for open standards for digital learning resources </w:t>
    </w:r>
    <w:r>
      <w:rPr>
        <w:rFonts w:ascii="Calibri" w:eastAsia="Calibri" w:hAnsi="Calibri" w:cs="Calibri"/>
        <w:i/>
      </w:rPr>
      <w:br/>
      <w:t>on behalf of over 1,000,000 students.</w:t>
    </w:r>
  </w:p>
  <w:p w:rsidR="005A5B26" w:rsidRDefault="005A5B26">
    <w:pPr>
      <w:jc w:val="center"/>
    </w:pPr>
  </w:p>
  <w:p w:rsidR="005A5B26" w:rsidRDefault="00BB4252">
    <w:pPr>
      <w:pStyle w:val="Heading1"/>
      <w:contextualSpacing w:val="0"/>
    </w:pPr>
    <w:bookmarkStart w:id="9" w:name="h.yc5fp9qnoyi" w:colFirst="0" w:colLast="0"/>
    <w:bookmarkEnd w:id="9"/>
    <w:r>
      <w:t xml:space="preserve">Request For Proposal Guidance </w:t>
    </w:r>
    <w:r>
      <w:br/>
    </w:r>
    <w:r>
      <w:rPr>
        <w:b/>
      </w:rPr>
      <w:t>Single Sign-On and Class Rosters</w:t>
    </w:r>
  </w:p>
  <w:p w:rsidR="005A5B26" w:rsidRDefault="00BB4252">
    <w:r>
      <w:rPr>
        <w:noProof/>
      </w:rPr>
      <w:drawing>
        <wp:anchor distT="114300" distB="114300" distL="114300" distR="114300" simplePos="0" relativeHeight="251659264" behindDoc="0" locked="0" layoutInCell="0" hidden="0" allowOverlap="0">
          <wp:simplePos x="0" y="0"/>
          <wp:positionH relativeFrom="margin">
            <wp:posOffset>2095500</wp:posOffset>
          </wp:positionH>
          <wp:positionV relativeFrom="paragraph">
            <wp:posOffset>7715250</wp:posOffset>
          </wp:positionV>
          <wp:extent cx="1328738" cy="1019946"/>
          <wp:effectExtent l="0" t="0" r="0" b="0"/>
          <wp:wrapSquare wrapText="bothSides" distT="114300" distB="114300" distL="114300" distR="114300"/>
          <wp:docPr id="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
                  <a:srcRect/>
                  <a:stretch>
                    <a:fillRect/>
                  </a:stretch>
                </pic:blipFill>
                <pic:spPr>
                  <a:xfrm>
                    <a:off x="0" y="0"/>
                    <a:ext cx="1328738" cy="1019946"/>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5B26"/>
    <w:rsid w:val="000018E5"/>
    <w:rsid w:val="00133F22"/>
    <w:rsid w:val="001F7760"/>
    <w:rsid w:val="005A5B26"/>
    <w:rsid w:val="00746113"/>
    <w:rsid w:val="00BB42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B2D31EB-919A-4E5C-AA1E-5C86B474B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en.wikipedia.org/wiki/XML" TargetMode="External"/><Relationship Id="rId13" Type="http://schemas.openxmlformats.org/officeDocument/2006/relationships/hyperlink" Target="https://en.wikipedia.org/wiki/Service_provider" TargetMode="External"/><Relationship Id="rId18" Type="http://schemas.openxmlformats.org/officeDocument/2006/relationships/image" Target="media/image2.pn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en.wikipedia.org/wiki/Security_Assertion_Markup_Language" TargetMode="External"/><Relationship Id="rId12" Type="http://schemas.openxmlformats.org/officeDocument/2006/relationships/hyperlink" Target="https://en.wikipedia.org/wiki/Identity_provider" TargetMode="External"/><Relationship Id="rId17" Type="http://schemas.openxmlformats.org/officeDocument/2006/relationships/hyperlink" Target="http://www.imsglobal.org/lis/"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imsglobal.org/IMSOneRoster.pdf" TargetMode="External"/><Relationship Id="rId20" Type="http://schemas.openxmlformats.org/officeDocument/2006/relationships/hyperlink" Target="http://facts.education/join/" TargetMode="External"/><Relationship Id="rId1" Type="http://schemas.openxmlformats.org/officeDocument/2006/relationships/styles" Target="styles.xml"/><Relationship Id="rId6" Type="http://schemas.openxmlformats.org/officeDocument/2006/relationships/hyperlink" Target="http://www.imsglobal.org/lti/primeronLTIConformance.html" TargetMode="External"/><Relationship Id="rId11" Type="http://schemas.openxmlformats.org/officeDocument/2006/relationships/hyperlink" Target="https://en.wikipedia.org/wiki/Authorization" TargetMode="External"/><Relationship Id="rId24"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image" Target="media/image1.png"/><Relationship Id="rId23" Type="http://schemas.openxmlformats.org/officeDocument/2006/relationships/header" Target="header2.xml"/><Relationship Id="rId10" Type="http://schemas.openxmlformats.org/officeDocument/2006/relationships/hyperlink" Target="https://en.wikipedia.org/wiki/Authentication" TargetMode="External"/><Relationship Id="rId19"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en.wikipedia.org/wiki/Open_standard" TargetMode="External"/><Relationship Id="rId14" Type="http://schemas.openxmlformats.org/officeDocument/2006/relationships/hyperlink" Target="https://en.wikipedia.org/wiki/OASIS_(organization)"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facts.education/"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tandfonline.com/doi/citedby/10.1080/01449290500330448" TargetMode="External"/><Relationship Id="rId2" Type="http://schemas.openxmlformats.org/officeDocument/2006/relationships/hyperlink" Target="http://pss.sagepub.com/content/17/7/592.short" TargetMode="External"/><Relationship Id="rId1" Type="http://schemas.openxmlformats.org/officeDocument/2006/relationships/hyperlink" Target="http://www.sciencedirect.com/science/article/pii/S0747563204001827" TargetMode="External"/><Relationship Id="rId4" Type="http://schemas.openxmlformats.org/officeDocument/2006/relationships/hyperlink" Target="http://psycnet.apa.org/journals/emo/6/2/26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1301</Words>
  <Characters>7419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Stanley Watts</dc:creator>
  <cp:lastModifiedBy>Nimmons, William</cp:lastModifiedBy>
  <cp:revision>2</cp:revision>
  <dcterms:created xsi:type="dcterms:W3CDTF">2017-04-20T02:27:00Z</dcterms:created>
  <dcterms:modified xsi:type="dcterms:W3CDTF">2017-04-20T02:27:00Z</dcterms:modified>
</cp:coreProperties>
</file>